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3BAC8E5F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7578E7" w:rsidRPr="007578E7">
        <w:rPr>
          <w:rStyle w:val="BLOCKBOLD"/>
          <w:rFonts w:ascii="Garamond" w:hAnsi="Garamond"/>
          <w:sz w:val="22"/>
          <w:szCs w:val="22"/>
        </w:rPr>
        <w:t>Accordo Quadro per lavori di ammodernamento tecnologico della rete ricadenti sulle tratte autostradali di tutte le Direzioni di Tronco</w:t>
      </w:r>
    </w:p>
    <w:p w14:paraId="5AA9589B" w14:textId="441B29D3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20AA6076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4D8AB60F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624110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67536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2E1846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24110"/>
    <w:rsid w:val="00664A2B"/>
    <w:rsid w:val="006702AC"/>
    <w:rsid w:val="006B18D2"/>
    <w:rsid w:val="00714820"/>
    <w:rsid w:val="007514EB"/>
    <w:rsid w:val="007578E7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28</cp:revision>
  <cp:lastPrinted>2023-12-14T15:35:00Z</cp:lastPrinted>
  <dcterms:created xsi:type="dcterms:W3CDTF">2023-11-30T17:11:00Z</dcterms:created>
  <dcterms:modified xsi:type="dcterms:W3CDTF">2024-06-17T14:12:00Z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